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/ZO/…….. - WZÓR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Centrum Kultury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reprezentowanym  przez: Daniela Nawrockiego – Dyrektora Centrum Kultury Fizycznej w Brzezinach, zwanym dalej „Zamawiającym”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830B94" w:rsidRDefault="006D5DDF" w:rsidP="006D5DDF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poniżej progu stosowania U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stawy Prawo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amówień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ublicznych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podstawie art.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ust. 1 pkt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 ustawy.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:rsidR="006D5DDF" w:rsidRPr="006D5DDF" w:rsidRDefault="006D5DDF" w:rsidP="006D5DDF">
      <w:pPr>
        <w:widowControl w:val="0"/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Pr="006421CE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WYKONYWANIE USŁUGI INSTRUKTORSKIEJ PROWADZENIA ZAJĘĆ RUCHOWYCH W WODZIE Z KLIENTAMI GRUPOWYMI I INDYWIDUALNYMI W OBIEKCIE KRYTEJ PŁYWALNI PRZY UL. A. HETMANA 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9 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zgodnie z „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Zapytaniem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……. stycznia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 stanowiącą załącznik  do umowy będącą integralną częścią niniejszej umowy.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6D5DDF" w:rsidRPr="008B1699" w:rsidRDefault="006D5DDF" w:rsidP="006D5D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zapewnienia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wykonywaniem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,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stosowania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wymogów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wynikających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rozporządzenia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Parlamentu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Europejskiego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Rady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(UE) 2016/679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27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kwietnia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2016 r.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fizycznych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przetwarzaniem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swobodnego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przepływu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takich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uchylenia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dyrektywy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95/46/WE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polskich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przepisów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obowiązujących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.</w:t>
      </w:r>
    </w:p>
    <w:p w:rsidR="006D5DDF" w:rsidRPr="008B1699" w:rsidRDefault="006D5DDF" w:rsidP="006D5D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2.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Zamawiający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dla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własnych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trzecich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opisanych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wszelkich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chyba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stan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tajemnicy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wobec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ustał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znane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publicznie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ich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zażąda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uprawniony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podmiot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przewidzianej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prawem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formie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treści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jednakże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wówczas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tylko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niezbędnym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zachowania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poufności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ma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ograniczeń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czasowych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wygasa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rozwiązaniu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ten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obejmuje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zarówno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wynikające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uzyskane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pracowników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którymi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posługuje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okazji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wykonywania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6D5DDF" w:rsidRPr="008B1699" w:rsidRDefault="006D5DDF" w:rsidP="006D5D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lastRenderedPageBreak/>
        <w:t xml:space="preserve">3.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zapewnia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osobowe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będą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wyłącznie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6D5DDF" w:rsidRPr="008B1699" w:rsidRDefault="006D5DDF" w:rsidP="006D5D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4.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przypadku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postanowień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1-3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dokonała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naprawienia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szkody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druga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poniosła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tytułu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nienależytego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na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zasadach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ogólnych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oświadczają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że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wskazane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treści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zostały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przypadku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gdy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dotyczą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pracowników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informacyjne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obciążają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która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dostarczyła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Dane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będą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wykorzystywane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wyłącznie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celu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zawarcia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niniejszej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ewentualnego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dochodzenia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roszczeń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związku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obowiązkiem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poddania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się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przepisów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prawa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</w:p>
    <w:p w:rsidR="006D5DDF" w:rsidRPr="00B8318C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Funkcję osoby nadzorującej z ramienia Zamawiającego pełnić będzie: Dyrektor Centrum Kultury Fizycznej Daniel Nawrocki.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……………………………..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3.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Osobami obsługującymi zajęcia na rzecz Wykonawcy są: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2060"/>
        <w:gridCol w:w="1700"/>
        <w:gridCol w:w="1220"/>
        <w:gridCol w:w="1947"/>
      </w:tblGrid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</w:t>
            </w:r>
            <w:proofErr w:type="spellEnd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</w:t>
            </w:r>
            <w:proofErr w:type="spellEnd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Nr</w:t>
            </w:r>
            <w:proofErr w:type="spellEnd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  <w:proofErr w:type="spellEnd"/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  <w:proofErr w:type="spellEnd"/>
          </w:p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  <w:proofErr w:type="spellEnd"/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6D5DDF" w:rsidRPr="004A3CD3" w:rsidTr="009B3EB5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8B454A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DF" w:rsidRPr="004A3CD3" w:rsidRDefault="006D5DDF" w:rsidP="009B3EB5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6D5DDF" w:rsidRPr="00B8318C">
          <w:footerReference w:type="default" r:id="rId6"/>
          <w:pgSz w:w="11905" w:h="16837"/>
          <w:pgMar w:top="1134" w:right="1134" w:bottom="1134" w:left="1134" w:header="720" w:footer="720" w:gutter="0"/>
          <w:cols w:space="720"/>
        </w:sect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val="pl-PL" w:eastAsia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pod warunkiem braku uzasadnionego sprzeciwu ze strony Zamawiającego, wyrażonego na piśmie w ciągu 2 dni roboczych od daty zawiadomienia go przez Wykonawcę o planowanej zmianie z zastrzeżeniem, iż osoby te będą posiadały, co najmniej takie same uprawnienia jak wymagane w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zapytaniu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oraz w Umowie oraz obowiązujących w tym zakresie przepisach. Wykonawca gwarantuje, że przejęcie obowiązków przez nową osobę zostanie przeprowadzone w sposób zapewniający ciągłość realizacji przedmiotu zamówienia.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wykonywania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zamówienia</w:t>
      </w:r>
      <w:proofErr w:type="spellEnd"/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4</w:t>
      </w:r>
    </w:p>
    <w:p w:rsidR="006D5DDF" w:rsidRPr="008B1699" w:rsidRDefault="006D5DDF" w:rsidP="006D5DDF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………………… roku do 30 kwietnia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24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ednakże nie dłużej niż do dnia 30 kwietnia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24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:rsidR="006D5DDF" w:rsidRPr="008B1699" w:rsidRDefault="006D5DDF" w:rsidP="006D5DDF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nauki i doskonalenia pływania, zapoznania z nurkowaniem oraz wodnego aerobiku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będą świadczone w terminach ustalonych przez Zamawiającego zgodnie z tygodniowymi harmonogramami tych grup przedkładanymi Wykonawcy z minimum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tygodniowym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wyprzedzeniem.</w:t>
      </w:r>
    </w:p>
    <w:p w:rsidR="006D5DDF" w:rsidRPr="008B1699" w:rsidRDefault="006D5DDF" w:rsidP="006D5DDF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Zamawiający ma prawo do odwołania prowadzenia zleconych zajęć ujętych w harmonogramie w przypadku pisemnego poinformowania Wykonawcy z przynajmniej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 dniowym wyprzedzeniem. Za odwołanie zleconych zajęć w takim przypadku nie przysługuje Wykonawcy wynagrodzenie.</w:t>
      </w:r>
    </w:p>
    <w:p w:rsidR="006D5DDF" w:rsidRPr="008B1699" w:rsidRDefault="006D5DDF" w:rsidP="006D5DDF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ć  wyłączone z użytkowania na 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e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. </w:t>
      </w:r>
    </w:p>
    <w:p w:rsidR="006D5DDF" w:rsidRPr="008B1699" w:rsidRDefault="006D5DDF" w:rsidP="006D5DDF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:rsidR="006D5DDF" w:rsidRPr="00B8318C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: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, netto ……………………… zł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za 1 jednostkę instruktorską  wynikająca z rodzaju zajęć.</w:t>
      </w:r>
    </w:p>
    <w:p w:rsidR="006D5DDF" w:rsidRPr="00B8318C" w:rsidRDefault="006D5DDF" w:rsidP="006D5DDF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do umowy)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potwierdzające wykonania usługi podpisane przez Dyrektora CKF i reprezentanta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 xml:space="preserve">Wykonawcy nie później niż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10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dni po upływie miesiąca wykonanej usługi.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………………………………………….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7.Cena jednostkowa, o której mowa w ust. 2 zawiera w sobie wszystkie koszty związane z realizacją przedmiotu zamówienia.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8.Zamawiający nie jest zobowiązany do realizacji zamówienia w pełnym zakresie a Wykonawcy nie przysługują roszczenia odszkodowawcze z tytułu niewykorzystania maksymalnej wartości zamówienia.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Pr="008B1699" w:rsidRDefault="006D5DDF" w:rsidP="006D5DDF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Umowne</w:t>
      </w:r>
      <w:proofErr w:type="spellEnd"/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6</w:t>
      </w:r>
    </w:p>
    <w:p w:rsidR="006D5DDF" w:rsidRPr="00B8318C" w:rsidRDefault="006D5DDF" w:rsidP="006D5DD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 zleconych przez Zamawiającego uwzględnionych w harmonogramie grup w miesiącu wykonywania usługi,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z §4 ust.2 za: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:rsidR="006D5DDF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w miesiącu wykonywania usługi,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godzinę, po przekroczeniu przez instruktora ustalonego czasu pobytu na basenie bez prowadzenia zajęć, zgodnie z zapisami</w:t>
      </w:r>
      <w:r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Procedury ewidencji w systemie kasowym ESOK stanowiącej Załącznik nr 4 do zapytania ofertowego ,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)Kara w wysokości 10% ceny całkowitej ujętej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ust. 1 umowy za odstąpienie od umowy przez Zamawiającego lub Wykonawcę z przyczyn leżących po  stronie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6D5DDF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Kara w wysokości 30% całkowitego kosztu cyklu szkolenia poniesionego przez Zamawiającego w związku z nie należytym przeprowadzeniem zajęć szkoleniowych dla poszczególnej grupy ćwiczebnej i nie osiągnięcie wyznaczonego celu szkoleniowego wyznaczonego dla tego etapu. </w:t>
      </w:r>
    </w:p>
    <w:p w:rsidR="006D5DDF" w:rsidRPr="008B1699" w:rsidRDefault="006D5DDF" w:rsidP="006D5DDF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6D5DDF" w:rsidRPr="005F4775" w:rsidRDefault="006D5DDF" w:rsidP="006D5DDF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    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ę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umown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ą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wysokości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50%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obliczonej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§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2,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nie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poinformowanie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Zamawiającego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przynajmniej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dniowym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wyprzedzeniem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fakcie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odwołania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stałym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harmonogramie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obsługiwanych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grup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3.Wysokość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zaistniałe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sytuacje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zawarte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ust.1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pkt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niniejszego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paragrafu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wynikająca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sumowania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przekroczonego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czasu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pobytu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miesiącu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zostanie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załączniku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nr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do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skutkować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będzie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pomniejszeniem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miesięcznego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wynagrodzenia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wyraża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zgodę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D5DDF" w:rsidRPr="00CF3AC8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 xml:space="preserve">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7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 je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 Przestrzegania wszystkich regulaminów i zasad obowiązujących na obiekcie pływalni krytej Centrum Kultury Fizycznej w Brzezinach,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Kultury Fizycznej w Brzezinach stanowiącej załącznik nr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zapytania ofertowego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9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:rsidR="006D5DDF" w:rsidRPr="00B8318C" w:rsidRDefault="006D5DDF" w:rsidP="006D5DDF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6D5DDF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  <w:proofErr w:type="spellEnd"/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10</w:t>
      </w:r>
    </w:p>
    <w:p w:rsidR="006D5DDF" w:rsidRPr="008B1699" w:rsidRDefault="006D5DDF" w:rsidP="006D5DD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Wykonawca może zawrzeć umowę na części zamówienia określone w ofercie, ze wskazanym przez siebie podwykonawcą pod warunkiem, że posiada on kwalifikacje do ich wykonania.</w:t>
      </w:r>
    </w:p>
    <w:p w:rsidR="006D5DDF" w:rsidRPr="008B1699" w:rsidRDefault="006D5DDF" w:rsidP="006D5D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art. 26 ust. 2b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pzp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w celu wykazania spełnienia warunków udziału w postępowaniu Wykonawca zobowiązany jest wykazać Zamawiającemu, iż zaproponowany inny Podwykonawca samodzielnie spełnia warunki udziału w postępowaniu w stopniu nie mniejszym niż wymagany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zapytaniu ofertowym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;</w:t>
      </w:r>
    </w:p>
    <w:p w:rsidR="006D5DDF" w:rsidRPr="008B1699" w:rsidRDefault="006D5DDF" w:rsidP="006D5D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Zlecenie części usług podwykonawcom nie zmienia zobowiązań wykonawcy wobec Zamawiającego za wykonanie tej części usług. Wykonawca jest odpowiedzialny za działania, uchybienia i zaniedbania podwykonawców i ich pracowników w takim samym 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lastRenderedPageBreak/>
        <w:t>stopniu jakby to były działania, uchybienia i zaniedbania jego lub jego pracowników</w:t>
      </w:r>
    </w:p>
    <w:p w:rsidR="006D5DDF" w:rsidRPr="008B1699" w:rsidRDefault="006D5DDF" w:rsidP="006D5D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:rsidR="006D5DDF" w:rsidRPr="008B1699" w:rsidRDefault="006D5DDF" w:rsidP="006D5D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Jeżeli Wykonawca nie deklaruje w ofercie zatrudnienia podwykonawców, Zamawiający przyjmuje, że przedmiot zamówienia zostanie wykonany samodzielnie przez Wykonawcę.</w:t>
      </w:r>
    </w:p>
    <w:p w:rsidR="006D5DDF" w:rsidRPr="008B1699" w:rsidRDefault="006D5DDF" w:rsidP="006D5D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 przypadku zaistnienia konieczność zmiany podwykonawcy, Wykonawca zobowiązany jest  do pisemnego uzasadnienia planowanej zmiany.</w:t>
      </w:r>
    </w:p>
    <w:p w:rsidR="006D5DDF" w:rsidRPr="008B1699" w:rsidRDefault="006D5DDF" w:rsidP="006D5DD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:rsidR="006D5DDF" w:rsidRPr="00B8318C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w przypadkach i na warunkach opisanych w zapytaniu ofertowym.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 zawierać uzasadnienie pod rygorem nieważności takiego oświadczenia.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</w:p>
    <w:p w:rsidR="006D5DDF" w:rsidRPr="008B1699" w:rsidRDefault="006D5DDF" w:rsidP="006D5DD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:rsidR="006D5DDF" w:rsidRPr="00966474" w:rsidRDefault="006D5DDF" w:rsidP="006D5DD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Każdej ze stron przysługuje możliwość rozwiązania umowy na piśmie za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miesięcznym okresem wypowiedzenia.</w:t>
      </w:r>
    </w:p>
    <w:p w:rsidR="006D5DDF" w:rsidRPr="008B1699" w:rsidRDefault="006D5DDF" w:rsidP="006D5D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:rsidR="006D5DDF" w:rsidRPr="006B4F4F" w:rsidRDefault="006D5DDF" w:rsidP="006D5D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:rsidR="006D5DDF" w:rsidRPr="00EF48F2" w:rsidRDefault="006D5DDF" w:rsidP="006D5D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D5DDF" w:rsidRPr="008B1699" w:rsidRDefault="006D5DDF" w:rsidP="006D5DDF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</w:p>
    <w:p w:rsidR="006D5DDF" w:rsidRPr="00C662A6" w:rsidRDefault="006D5DDF" w:rsidP="006D5D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:rsidR="006D5DDF" w:rsidRPr="00B8318C" w:rsidRDefault="006D5DDF" w:rsidP="006D5D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Default="006D5DDF" w:rsidP="006D5D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D5DDF" w:rsidRPr="005F4775" w:rsidRDefault="006D5DDF" w:rsidP="006D5D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bookmarkStart w:id="0" w:name="_GoBack"/>
      <w:bookmarkEnd w:id="0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Wykonawca</w:t>
      </w:r>
      <w:proofErr w:type="spellEnd"/>
    </w:p>
    <w:p w:rsidR="00792162" w:rsidRDefault="00792162"/>
    <w:sectPr w:rsidR="00792162" w:rsidSect="00706E4C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BC" w:rsidRDefault="006D5DD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BC" w:rsidRDefault="006D5DD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1152"/>
    <w:multiLevelType w:val="multilevel"/>
    <w:tmpl w:val="10E207CE"/>
    <w:styleLink w:val="WWNum27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8"/>
    <w:rsid w:val="00532048"/>
    <w:rsid w:val="006D5DDF"/>
    <w:rsid w:val="007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DF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D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DDF"/>
    <w:rPr>
      <w:lang w:val="en-US"/>
    </w:rPr>
  </w:style>
  <w:style w:type="numbering" w:customStyle="1" w:styleId="WWNum78">
    <w:name w:val="WWNum78"/>
    <w:basedOn w:val="Bezlisty"/>
    <w:rsid w:val="006D5DDF"/>
    <w:pPr>
      <w:numPr>
        <w:numId w:val="1"/>
      </w:numPr>
    </w:pPr>
  </w:style>
  <w:style w:type="numbering" w:customStyle="1" w:styleId="WWNum46">
    <w:name w:val="WWNum46"/>
    <w:basedOn w:val="Bezlisty"/>
    <w:rsid w:val="006D5DDF"/>
    <w:pPr>
      <w:numPr>
        <w:numId w:val="2"/>
      </w:numPr>
    </w:pPr>
  </w:style>
  <w:style w:type="numbering" w:customStyle="1" w:styleId="WWNum86">
    <w:name w:val="WWNum86"/>
    <w:basedOn w:val="Bezlisty"/>
    <w:rsid w:val="006D5DDF"/>
    <w:pPr>
      <w:numPr>
        <w:numId w:val="3"/>
      </w:numPr>
    </w:pPr>
  </w:style>
  <w:style w:type="numbering" w:customStyle="1" w:styleId="WWNum93">
    <w:name w:val="WWNum93"/>
    <w:basedOn w:val="Bezlisty"/>
    <w:rsid w:val="006D5DDF"/>
    <w:pPr>
      <w:numPr>
        <w:numId w:val="4"/>
      </w:numPr>
    </w:pPr>
  </w:style>
  <w:style w:type="numbering" w:customStyle="1" w:styleId="WWNum27">
    <w:name w:val="WWNum27"/>
    <w:rsid w:val="006D5DD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DF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D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DDF"/>
    <w:rPr>
      <w:lang w:val="en-US"/>
    </w:rPr>
  </w:style>
  <w:style w:type="numbering" w:customStyle="1" w:styleId="WWNum78">
    <w:name w:val="WWNum78"/>
    <w:basedOn w:val="Bezlisty"/>
    <w:rsid w:val="006D5DDF"/>
    <w:pPr>
      <w:numPr>
        <w:numId w:val="1"/>
      </w:numPr>
    </w:pPr>
  </w:style>
  <w:style w:type="numbering" w:customStyle="1" w:styleId="WWNum46">
    <w:name w:val="WWNum46"/>
    <w:basedOn w:val="Bezlisty"/>
    <w:rsid w:val="006D5DDF"/>
    <w:pPr>
      <w:numPr>
        <w:numId w:val="2"/>
      </w:numPr>
    </w:pPr>
  </w:style>
  <w:style w:type="numbering" w:customStyle="1" w:styleId="WWNum86">
    <w:name w:val="WWNum86"/>
    <w:basedOn w:val="Bezlisty"/>
    <w:rsid w:val="006D5DDF"/>
    <w:pPr>
      <w:numPr>
        <w:numId w:val="3"/>
      </w:numPr>
    </w:pPr>
  </w:style>
  <w:style w:type="numbering" w:customStyle="1" w:styleId="WWNum93">
    <w:name w:val="WWNum93"/>
    <w:basedOn w:val="Bezlisty"/>
    <w:rsid w:val="006D5DDF"/>
    <w:pPr>
      <w:numPr>
        <w:numId w:val="4"/>
      </w:numPr>
    </w:pPr>
  </w:style>
  <w:style w:type="numbering" w:customStyle="1" w:styleId="WWNum27">
    <w:name w:val="WWNum27"/>
    <w:rsid w:val="006D5DD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2134</Words>
  <Characters>12807</Characters>
  <Application>Microsoft Office Word</Application>
  <DocSecurity>0</DocSecurity>
  <Lines>106</Lines>
  <Paragraphs>29</Paragraphs>
  <ScaleCrop>false</ScaleCrop>
  <Company>Sil-art Rycho444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2023-12-28T11:00:00Z</dcterms:created>
  <dcterms:modified xsi:type="dcterms:W3CDTF">2023-12-28T11:05:00Z</dcterms:modified>
</cp:coreProperties>
</file>